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D3E5" w14:textId="3B7247A2" w:rsidR="0055530D" w:rsidRDefault="004B43FF" w:rsidP="00483BDC">
      <w:pPr>
        <w:spacing w:line="440" w:lineRule="exact"/>
        <w:jc w:val="both"/>
        <w:rPr>
          <w:rFonts w:eastAsia="標楷體"/>
          <w:sz w:val="36"/>
          <w:szCs w:val="36"/>
        </w:rPr>
      </w:pPr>
      <w:r w:rsidRPr="00342E76">
        <w:rPr>
          <w:rFonts w:ascii="標楷體" w:eastAsia="標楷體" w:hAnsi="標楷體"/>
          <w:noProof/>
          <w:color w:val="000000" w:themeColor="text1"/>
          <w:sz w:val="36"/>
          <w:szCs w:val="36"/>
          <w:lang w:eastAsia="zh-HK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C0C8C2F" wp14:editId="10C0FCFA">
                <wp:simplePos x="0" y="0"/>
                <wp:positionH relativeFrom="column">
                  <wp:posOffset>0</wp:posOffset>
                </wp:positionH>
                <wp:positionV relativeFrom="paragraph">
                  <wp:posOffset>-335280</wp:posOffset>
                </wp:positionV>
                <wp:extent cx="933450" cy="314325"/>
                <wp:effectExtent l="0" t="0" r="19050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0D1B7" w14:textId="5F255BBB" w:rsidR="004B43FF" w:rsidRPr="00342E76" w:rsidRDefault="004B43FF" w:rsidP="004B43FF">
                            <w:pPr>
                              <w:spacing w:line="34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342E76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附件</w:t>
                            </w:r>
                            <w:r w:rsidR="00815F48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C8C2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6.4pt;width:73.5pt;height:24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">
                <v:textbox>
                  <w:txbxContent>
                    <w:p w14:paraId="4110D1B7" w14:textId="5F255BBB" w:rsidR="004B43FF" w:rsidRPr="00342E76" w:rsidRDefault="004B43FF" w:rsidP="004B43FF">
                      <w:pPr>
                        <w:spacing w:line="340" w:lineRule="exact"/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342E76">
                        <w:rPr>
                          <w:rFonts w:eastAsia="標楷體"/>
                          <w:sz w:val="28"/>
                          <w:szCs w:val="28"/>
                        </w:rPr>
                        <w:t>附件</w:t>
                      </w:r>
                      <w:r w:rsidR="00815F48">
                        <w:rPr>
                          <w:rFonts w:eastAsia="標楷體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37883" w:rsidRPr="00483BDC">
        <w:rPr>
          <w:rFonts w:eastAsia="標楷體"/>
          <w:sz w:val="36"/>
          <w:szCs w:val="36"/>
        </w:rPr>
        <w:t>中華民國證券商業同業公會</w:t>
      </w:r>
      <w:r w:rsidR="00015029" w:rsidRPr="00483BDC">
        <w:rPr>
          <w:rFonts w:eastAsia="標楷體"/>
          <w:sz w:val="36"/>
          <w:szCs w:val="36"/>
        </w:rPr>
        <w:t>「</w:t>
      </w:r>
      <w:r w:rsidR="00437883" w:rsidRPr="00483BDC">
        <w:rPr>
          <w:rFonts w:eastAsia="標楷體"/>
          <w:sz w:val="36"/>
          <w:szCs w:val="36"/>
        </w:rPr>
        <w:t>證券承銷商詢價圈購配售辦法</w:t>
      </w:r>
      <w:r w:rsidR="00015029" w:rsidRPr="00483BDC">
        <w:rPr>
          <w:rFonts w:eastAsia="標楷體"/>
          <w:sz w:val="36"/>
          <w:szCs w:val="36"/>
        </w:rPr>
        <w:t>」</w:t>
      </w:r>
      <w:r w:rsidR="00C17677" w:rsidRPr="00483BDC">
        <w:rPr>
          <w:rFonts w:eastAsia="標楷體"/>
          <w:sz w:val="36"/>
          <w:szCs w:val="36"/>
        </w:rPr>
        <w:t>第</w:t>
      </w:r>
      <w:r w:rsidR="00D34FCC">
        <w:rPr>
          <w:rFonts w:eastAsia="標楷體" w:hint="eastAsia"/>
          <w:sz w:val="36"/>
          <w:szCs w:val="36"/>
        </w:rPr>
        <w:t>三</w:t>
      </w:r>
      <w:r w:rsidR="00C17677" w:rsidRPr="00483BDC">
        <w:rPr>
          <w:rFonts w:eastAsia="標楷體"/>
          <w:sz w:val="36"/>
          <w:szCs w:val="36"/>
        </w:rPr>
        <w:t>條</w:t>
      </w:r>
      <w:r w:rsidR="00015029" w:rsidRPr="00483BDC">
        <w:rPr>
          <w:rFonts w:eastAsia="標楷體"/>
          <w:sz w:val="36"/>
          <w:szCs w:val="36"/>
        </w:rPr>
        <w:t>修正條文對照表</w:t>
      </w:r>
    </w:p>
    <w:p w14:paraId="7FFF3E6C" w14:textId="77777777" w:rsidR="003D644F" w:rsidRPr="00483BDC" w:rsidRDefault="003D644F" w:rsidP="00483BDC">
      <w:pPr>
        <w:spacing w:line="440" w:lineRule="exact"/>
        <w:jc w:val="both"/>
        <w:rPr>
          <w:rFonts w:eastAsia="標楷體"/>
          <w:sz w:val="36"/>
          <w:szCs w:val="36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683"/>
        <w:gridCol w:w="3683"/>
        <w:gridCol w:w="2552"/>
      </w:tblGrid>
      <w:tr w:rsidR="0055530D" w:rsidRPr="003D644F" w14:paraId="38520D93" w14:textId="77777777" w:rsidTr="00C630E3">
        <w:tc>
          <w:tcPr>
            <w:tcW w:w="3683" w:type="dxa"/>
          </w:tcPr>
          <w:p w14:paraId="67EAB75B" w14:textId="77777777" w:rsidR="0055530D" w:rsidRPr="003D644F" w:rsidRDefault="0055530D" w:rsidP="003D644F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3D644F">
              <w:rPr>
                <w:rFonts w:eastAsia="標楷體"/>
                <w:b/>
                <w:bCs/>
                <w:szCs w:val="24"/>
              </w:rPr>
              <w:t>修正條文</w:t>
            </w:r>
          </w:p>
        </w:tc>
        <w:tc>
          <w:tcPr>
            <w:tcW w:w="3683" w:type="dxa"/>
          </w:tcPr>
          <w:p w14:paraId="3288FC9F" w14:textId="77777777" w:rsidR="0055530D" w:rsidRPr="003D644F" w:rsidRDefault="0055530D" w:rsidP="003D644F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3D644F">
              <w:rPr>
                <w:rFonts w:eastAsia="標楷體"/>
                <w:b/>
                <w:bCs/>
                <w:szCs w:val="24"/>
              </w:rPr>
              <w:t>現行條文</w:t>
            </w:r>
          </w:p>
        </w:tc>
        <w:tc>
          <w:tcPr>
            <w:tcW w:w="2552" w:type="dxa"/>
          </w:tcPr>
          <w:p w14:paraId="4C501C14" w14:textId="77777777" w:rsidR="0055530D" w:rsidRPr="003D644F" w:rsidRDefault="0055530D" w:rsidP="003D644F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3D644F">
              <w:rPr>
                <w:rFonts w:eastAsia="標楷體"/>
                <w:b/>
                <w:bCs/>
                <w:szCs w:val="24"/>
              </w:rPr>
              <w:t>說明</w:t>
            </w:r>
          </w:p>
        </w:tc>
      </w:tr>
      <w:tr w:rsidR="00437883" w:rsidRPr="003D644F" w14:paraId="2054795D" w14:textId="77777777" w:rsidTr="00C630E3">
        <w:tc>
          <w:tcPr>
            <w:tcW w:w="3683" w:type="dxa"/>
          </w:tcPr>
          <w:p w14:paraId="0477676E" w14:textId="77777777" w:rsidR="00437883" w:rsidRPr="003D644F" w:rsidRDefault="00437883" w:rsidP="003D644F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3D644F">
              <w:rPr>
                <w:rFonts w:eastAsia="標楷體" w:hint="eastAsia"/>
                <w:szCs w:val="24"/>
              </w:rPr>
              <w:t>第三條</w:t>
            </w:r>
            <w:r w:rsidRPr="003D644F">
              <w:rPr>
                <w:rFonts w:eastAsia="標楷體" w:hint="eastAsia"/>
                <w:szCs w:val="24"/>
              </w:rPr>
              <w:t xml:space="preserve">    </w:t>
            </w:r>
            <w:proofErr w:type="gramStart"/>
            <w:r w:rsidRPr="003D644F">
              <w:rPr>
                <w:rFonts w:eastAsia="標楷體" w:hint="eastAsia"/>
                <w:szCs w:val="24"/>
              </w:rPr>
              <w:t>詢</w:t>
            </w:r>
            <w:proofErr w:type="gramEnd"/>
            <w:r w:rsidRPr="003D644F">
              <w:rPr>
                <w:rFonts w:eastAsia="標楷體" w:hint="eastAsia"/>
                <w:szCs w:val="24"/>
              </w:rPr>
              <w:t>價圈購之配售總數量，依承銷團約定之比例分配予各證券承銷商辦理配售，惟主辦承銷商得視各證券承銷商接受圈購情形適當調整之；</w:t>
            </w:r>
            <w:proofErr w:type="gramStart"/>
            <w:r w:rsidRPr="003D644F">
              <w:rPr>
                <w:rFonts w:eastAsia="標楷體" w:hint="eastAsia"/>
                <w:szCs w:val="24"/>
              </w:rPr>
              <w:t>承銷團未約定</w:t>
            </w:r>
            <w:proofErr w:type="gramEnd"/>
            <w:r w:rsidRPr="003D644F">
              <w:rPr>
                <w:rFonts w:eastAsia="標楷體" w:hint="eastAsia"/>
                <w:szCs w:val="24"/>
              </w:rPr>
              <w:t>分配比例者，得按各證券</w:t>
            </w:r>
            <w:proofErr w:type="gramStart"/>
            <w:r w:rsidRPr="003D644F">
              <w:rPr>
                <w:rFonts w:eastAsia="標楷體" w:hint="eastAsia"/>
                <w:szCs w:val="24"/>
              </w:rPr>
              <w:t>承銷商彙總</w:t>
            </w:r>
            <w:proofErr w:type="gramEnd"/>
            <w:r w:rsidRPr="003D644F">
              <w:rPr>
                <w:rFonts w:eastAsia="標楷體" w:hint="eastAsia"/>
                <w:szCs w:val="24"/>
              </w:rPr>
              <w:t>至主辦承銷商之圈購數量比例分配予各證券承銷商辦理配售。</w:t>
            </w:r>
          </w:p>
          <w:p w14:paraId="73C786BA" w14:textId="5463667C" w:rsidR="00437883" w:rsidRPr="003D644F" w:rsidRDefault="00437883" w:rsidP="003D644F">
            <w:pPr>
              <w:spacing w:line="400" w:lineRule="exact"/>
              <w:ind w:firstLineChars="200" w:firstLine="480"/>
              <w:jc w:val="both"/>
              <w:rPr>
                <w:rFonts w:eastAsia="標楷體"/>
                <w:szCs w:val="24"/>
              </w:rPr>
            </w:pPr>
            <w:r w:rsidRPr="003D644F">
              <w:rPr>
                <w:rFonts w:eastAsia="標楷體" w:hint="eastAsia"/>
                <w:szCs w:val="24"/>
              </w:rPr>
              <w:t>以現金增資發行新股（特別股除外）辦理股票初次上市、上櫃案件</w:t>
            </w:r>
            <w:r w:rsidRPr="003D644F">
              <w:rPr>
                <w:rFonts w:eastAsia="標楷體" w:hint="eastAsia"/>
                <w:b/>
                <w:bCs/>
                <w:szCs w:val="24"/>
                <w:u w:val="single"/>
              </w:rPr>
              <w:t>、股票申請創新板初次上市案</w:t>
            </w:r>
            <w:r w:rsidRPr="003D644F">
              <w:rPr>
                <w:rFonts w:eastAsia="標楷體" w:hint="eastAsia"/>
                <w:szCs w:val="24"/>
              </w:rPr>
              <w:t>，如有</w:t>
            </w:r>
            <w:proofErr w:type="gramStart"/>
            <w:r w:rsidRPr="003D644F">
              <w:rPr>
                <w:rFonts w:eastAsia="標楷體" w:hint="eastAsia"/>
                <w:szCs w:val="24"/>
              </w:rPr>
              <w:t>執行過額配售</w:t>
            </w:r>
            <w:proofErr w:type="gramEnd"/>
            <w:r w:rsidRPr="003D644F">
              <w:rPr>
                <w:rFonts w:eastAsia="標楷體" w:hint="eastAsia"/>
                <w:szCs w:val="24"/>
              </w:rPr>
              <w:t>部分，應由主辦承銷商辦理配售事宜。</w:t>
            </w:r>
          </w:p>
          <w:p w14:paraId="72D20589" w14:textId="48888E5F" w:rsidR="00437883" w:rsidRPr="003D644F" w:rsidRDefault="00437883" w:rsidP="003D644F">
            <w:pPr>
              <w:spacing w:line="400" w:lineRule="exact"/>
              <w:ind w:firstLineChars="200" w:firstLine="480"/>
              <w:jc w:val="both"/>
              <w:rPr>
                <w:rFonts w:eastAsia="標楷體"/>
                <w:szCs w:val="24"/>
              </w:rPr>
            </w:pPr>
            <w:r w:rsidRPr="003D644F">
              <w:rPr>
                <w:rFonts w:eastAsia="標楷體" w:hint="eastAsia"/>
                <w:szCs w:val="24"/>
              </w:rPr>
              <w:t>初次上市、上櫃及台灣存託憑證初次發行案件如因公開申購配售之申購情形，而有調整</w:t>
            </w:r>
            <w:proofErr w:type="gramStart"/>
            <w:r w:rsidRPr="003D644F">
              <w:rPr>
                <w:rFonts w:eastAsia="標楷體" w:hint="eastAsia"/>
                <w:szCs w:val="24"/>
              </w:rPr>
              <w:t>詢</w:t>
            </w:r>
            <w:proofErr w:type="gramEnd"/>
            <w:r w:rsidRPr="003D644F">
              <w:rPr>
                <w:rFonts w:eastAsia="標楷體" w:hint="eastAsia"/>
                <w:szCs w:val="24"/>
              </w:rPr>
              <w:t>價圈購配售額度之情事者，主辦承銷商得視各證券承銷商接受圈購情形適當調整之。</w:t>
            </w:r>
          </w:p>
        </w:tc>
        <w:tc>
          <w:tcPr>
            <w:tcW w:w="3683" w:type="dxa"/>
          </w:tcPr>
          <w:p w14:paraId="72082CB0" w14:textId="7B15AA99" w:rsidR="00437883" w:rsidRPr="003D644F" w:rsidRDefault="00437883" w:rsidP="003D644F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3D644F">
              <w:rPr>
                <w:rFonts w:eastAsia="標楷體" w:hint="eastAsia"/>
                <w:szCs w:val="24"/>
              </w:rPr>
              <w:t>第三條</w:t>
            </w:r>
            <w:r w:rsidRPr="003D644F">
              <w:rPr>
                <w:rFonts w:eastAsia="標楷體" w:hint="eastAsia"/>
                <w:szCs w:val="24"/>
              </w:rPr>
              <w:t xml:space="preserve">    </w:t>
            </w:r>
            <w:proofErr w:type="gramStart"/>
            <w:r w:rsidRPr="003D644F">
              <w:rPr>
                <w:rFonts w:eastAsia="標楷體" w:hint="eastAsia"/>
                <w:szCs w:val="24"/>
              </w:rPr>
              <w:t>詢</w:t>
            </w:r>
            <w:proofErr w:type="gramEnd"/>
            <w:r w:rsidRPr="003D644F">
              <w:rPr>
                <w:rFonts w:eastAsia="標楷體" w:hint="eastAsia"/>
                <w:szCs w:val="24"/>
              </w:rPr>
              <w:t>價圈購之配售總數量，依承銷團約定之比例分配予各證券承銷商辦理配售，惟主辦承銷商得視各證券承銷商接受圈購情形適當調整之；</w:t>
            </w:r>
            <w:proofErr w:type="gramStart"/>
            <w:r w:rsidRPr="003D644F">
              <w:rPr>
                <w:rFonts w:eastAsia="標楷體" w:hint="eastAsia"/>
                <w:szCs w:val="24"/>
              </w:rPr>
              <w:t>承銷團未約定</w:t>
            </w:r>
            <w:proofErr w:type="gramEnd"/>
            <w:r w:rsidRPr="003D644F">
              <w:rPr>
                <w:rFonts w:eastAsia="標楷體" w:hint="eastAsia"/>
                <w:szCs w:val="24"/>
              </w:rPr>
              <w:t>分配比例者，得按各證券</w:t>
            </w:r>
            <w:proofErr w:type="gramStart"/>
            <w:r w:rsidRPr="003D644F">
              <w:rPr>
                <w:rFonts w:eastAsia="標楷體" w:hint="eastAsia"/>
                <w:szCs w:val="24"/>
              </w:rPr>
              <w:t>承銷商彙總</w:t>
            </w:r>
            <w:proofErr w:type="gramEnd"/>
            <w:r w:rsidRPr="003D644F">
              <w:rPr>
                <w:rFonts w:eastAsia="標楷體" w:hint="eastAsia"/>
                <w:szCs w:val="24"/>
              </w:rPr>
              <w:t>至主辦承銷商之圈購數量比例分配予各證券承銷商辦理配售。</w:t>
            </w:r>
          </w:p>
          <w:p w14:paraId="03A4A387" w14:textId="77777777" w:rsidR="00437883" w:rsidRPr="003D644F" w:rsidRDefault="00437883" w:rsidP="003D644F">
            <w:pPr>
              <w:spacing w:line="400" w:lineRule="exact"/>
              <w:ind w:firstLineChars="200" w:firstLine="480"/>
              <w:jc w:val="both"/>
              <w:rPr>
                <w:rFonts w:eastAsia="標楷體"/>
                <w:szCs w:val="24"/>
              </w:rPr>
            </w:pPr>
            <w:r w:rsidRPr="003D644F">
              <w:rPr>
                <w:rFonts w:eastAsia="標楷體" w:hint="eastAsia"/>
                <w:szCs w:val="24"/>
              </w:rPr>
              <w:t>以現金增資發行新股（特別股除外）辦理股票初次上市、上櫃案件，如有</w:t>
            </w:r>
            <w:proofErr w:type="gramStart"/>
            <w:r w:rsidRPr="003D644F">
              <w:rPr>
                <w:rFonts w:eastAsia="標楷體" w:hint="eastAsia"/>
                <w:szCs w:val="24"/>
              </w:rPr>
              <w:t>執行過額配售</w:t>
            </w:r>
            <w:proofErr w:type="gramEnd"/>
            <w:r w:rsidRPr="003D644F">
              <w:rPr>
                <w:rFonts w:eastAsia="標楷體" w:hint="eastAsia"/>
                <w:szCs w:val="24"/>
              </w:rPr>
              <w:t>部分，應由主辦承銷商辦理配售事宜。</w:t>
            </w:r>
          </w:p>
          <w:p w14:paraId="274949C3" w14:textId="2D7BDB9B" w:rsidR="00437883" w:rsidRPr="003D644F" w:rsidRDefault="00437883" w:rsidP="003D644F">
            <w:pPr>
              <w:spacing w:line="400" w:lineRule="exact"/>
              <w:ind w:firstLineChars="200" w:firstLine="480"/>
              <w:jc w:val="both"/>
              <w:rPr>
                <w:rFonts w:eastAsia="標楷體"/>
                <w:szCs w:val="24"/>
              </w:rPr>
            </w:pPr>
            <w:r w:rsidRPr="003D644F">
              <w:rPr>
                <w:rFonts w:eastAsia="標楷體" w:hint="eastAsia"/>
                <w:szCs w:val="24"/>
              </w:rPr>
              <w:t>初次上市、上櫃及台灣存託憑證初次發行案件如因公開申購配售之申購情形，而有調整</w:t>
            </w:r>
            <w:proofErr w:type="gramStart"/>
            <w:r w:rsidRPr="003D644F">
              <w:rPr>
                <w:rFonts w:eastAsia="標楷體" w:hint="eastAsia"/>
                <w:szCs w:val="24"/>
              </w:rPr>
              <w:t>詢</w:t>
            </w:r>
            <w:proofErr w:type="gramEnd"/>
            <w:r w:rsidRPr="003D644F">
              <w:rPr>
                <w:rFonts w:eastAsia="標楷體" w:hint="eastAsia"/>
                <w:szCs w:val="24"/>
              </w:rPr>
              <w:t>價圈購配售額度之情事者，主辦承銷商得視各證券承銷商接受圈購情形適當調整之。</w:t>
            </w:r>
          </w:p>
        </w:tc>
        <w:tc>
          <w:tcPr>
            <w:tcW w:w="2552" w:type="dxa"/>
          </w:tcPr>
          <w:p w14:paraId="419F88EB" w14:textId="7F0E2795" w:rsidR="00437883" w:rsidRPr="003D644F" w:rsidRDefault="00437883" w:rsidP="003D644F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3D644F">
              <w:rPr>
                <w:rFonts w:eastAsia="標楷體" w:hint="eastAsia"/>
                <w:szCs w:val="24"/>
              </w:rPr>
              <w:t>修正本條第二項，明訂創新板</w:t>
            </w:r>
            <w:r w:rsidRPr="003D644F">
              <w:rPr>
                <w:rFonts w:eastAsia="標楷體" w:hint="eastAsia"/>
                <w:szCs w:val="24"/>
              </w:rPr>
              <w:t>IPO</w:t>
            </w:r>
            <w:proofErr w:type="gramStart"/>
            <w:r w:rsidRPr="003D644F">
              <w:rPr>
                <w:rFonts w:eastAsia="標楷體" w:hint="eastAsia"/>
                <w:szCs w:val="24"/>
              </w:rPr>
              <w:t>案件過額配售</w:t>
            </w:r>
            <w:proofErr w:type="gramEnd"/>
            <w:r w:rsidRPr="003D644F">
              <w:rPr>
                <w:rFonts w:eastAsia="標楷體" w:hint="eastAsia"/>
                <w:szCs w:val="24"/>
              </w:rPr>
              <w:t>部份由主辦銷商辦理配售事宜。</w:t>
            </w:r>
          </w:p>
        </w:tc>
      </w:tr>
    </w:tbl>
    <w:p w14:paraId="09F414E2" w14:textId="77777777" w:rsidR="0055530D" w:rsidRPr="0055530D" w:rsidRDefault="0055530D"/>
    <w:sectPr w:rsidR="0055530D" w:rsidRPr="0055530D" w:rsidSect="00C630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5261" w14:textId="77777777" w:rsidR="003667B6" w:rsidRDefault="003667B6" w:rsidP="00C17677">
      <w:r>
        <w:separator/>
      </w:r>
    </w:p>
  </w:endnote>
  <w:endnote w:type="continuationSeparator" w:id="0">
    <w:p w14:paraId="07D5B8F1" w14:textId="77777777" w:rsidR="003667B6" w:rsidRDefault="003667B6" w:rsidP="00C1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D4227" w14:textId="77777777" w:rsidR="003667B6" w:rsidRDefault="003667B6" w:rsidP="00C17677">
      <w:r>
        <w:separator/>
      </w:r>
    </w:p>
  </w:footnote>
  <w:footnote w:type="continuationSeparator" w:id="0">
    <w:p w14:paraId="0A084587" w14:textId="77777777" w:rsidR="003667B6" w:rsidRDefault="003667B6" w:rsidP="00C17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0D"/>
    <w:rsid w:val="00015029"/>
    <w:rsid w:val="003667B6"/>
    <w:rsid w:val="003D644F"/>
    <w:rsid w:val="00437883"/>
    <w:rsid w:val="00483BDC"/>
    <w:rsid w:val="004B43FF"/>
    <w:rsid w:val="0055530D"/>
    <w:rsid w:val="00687AAA"/>
    <w:rsid w:val="007E624A"/>
    <w:rsid w:val="00815F48"/>
    <w:rsid w:val="008D6DF2"/>
    <w:rsid w:val="00903183"/>
    <w:rsid w:val="00A95640"/>
    <w:rsid w:val="00AB4D3D"/>
    <w:rsid w:val="00C17677"/>
    <w:rsid w:val="00C41F34"/>
    <w:rsid w:val="00C630E3"/>
    <w:rsid w:val="00D34FCC"/>
    <w:rsid w:val="00FC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5F7B7"/>
  <w15:chartTrackingRefBased/>
  <w15:docId w15:val="{E9F26739-72ED-4344-BE94-56692207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30D"/>
    <w:pPr>
      <w:widowControl w:val="0"/>
    </w:pPr>
    <w:rPr>
      <w:rFonts w:ascii="Times New Roman" w:eastAsia="新細明體" w:hAnsi="Times New Roman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76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C17677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6">
    <w:name w:val="footer"/>
    <w:basedOn w:val="a"/>
    <w:link w:val="a7"/>
    <w:uiPriority w:val="99"/>
    <w:unhideWhenUsed/>
    <w:rsid w:val="00C176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C17677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韻琳 鍾</dc:creator>
  <cp:keywords/>
  <dc:description/>
  <cp:lastModifiedBy>韻琳 鍾</cp:lastModifiedBy>
  <cp:revision>10</cp:revision>
  <cp:lastPrinted>2023-08-09T05:43:00Z</cp:lastPrinted>
  <dcterms:created xsi:type="dcterms:W3CDTF">2023-08-03T01:34:00Z</dcterms:created>
  <dcterms:modified xsi:type="dcterms:W3CDTF">2023-09-05T07:18:00Z</dcterms:modified>
</cp:coreProperties>
</file>